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55AE1" w:rsidRDefault="00000000">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Carbon–Magnetite Photocatalysts for Wastewater Treatment and Environmental Remediation</w:t>
      </w:r>
    </w:p>
    <w:p w14:paraId="00000002" w14:textId="77777777" w:rsidR="00355AE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Suresh Sagadevan*</w:t>
      </w:r>
    </w:p>
    <w:p w14:paraId="00000003" w14:textId="77777777" w:rsidR="00355AE1" w:rsidRDefault="00000000">
      <w:pPr>
        <w:shd w:val="clear" w:color="auto" w:fill="FFFFFF"/>
        <w:spacing w:after="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Nanotechnology &amp; Catalysis Research Centre, University of Malaya, Kuala Lumpur 50603, Malaysia</w:t>
      </w:r>
    </w:p>
    <w:p w14:paraId="00000004" w14:textId="77777777" w:rsidR="00355AE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*Corresponding author email:</w:t>
      </w:r>
      <w:r>
        <w:rPr>
          <w:rFonts w:ascii="Times New Roman" w:eastAsia="Times New Roman" w:hAnsi="Times New Roman" w:cs="Times New Roman"/>
          <w:sz w:val="24"/>
          <w:szCs w:val="24"/>
        </w:rPr>
        <w:t xml:space="preserve"> </w:t>
      </w:r>
      <w:hyperlink r:id="rId4">
        <w:r>
          <w:rPr>
            <w:rFonts w:ascii="Times New Roman" w:eastAsia="Times New Roman" w:hAnsi="Times New Roman" w:cs="Times New Roman"/>
            <w:color w:val="0563C1"/>
            <w:sz w:val="24"/>
            <w:szCs w:val="24"/>
            <w:u w:val="single"/>
          </w:rPr>
          <w:t>drsureshsagadevan@um.edu.my</w:t>
        </w:r>
      </w:hyperlink>
    </w:p>
    <w:p w14:paraId="00000005" w14:textId="77777777" w:rsidR="00355AE1" w:rsidRDefault="00000000">
      <w:pPr>
        <w:spacing w:before="24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Abstract </w:t>
      </w:r>
    </w:p>
    <w:p w14:paraId="00000006" w14:textId="77777777" w:rsidR="00355AE1"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high discharge of dye-laden effluents from textile and related industries has intensified the need for efficient and sustainable wastewater treatment technologies. Among various approaches, carbon-based photocatalysts have attracted significant attention due to their tunable electronic structure, large surface area, improved charge separation, and strong potential for visible-light-driven degradation of organic pollutants. In this study magnetite/MXene and graphitic carbon nitride (g-C₃N₄) were developed and investigated for the photocatalytic degradation of methylene blue (MB) in aqueous media. The composites were synthesized using ball milling and hydrothermal methods to obtain ternary systems with enhanced structural, optical, and magnetic properties. Density functional theory (DFT) calculations were carried out to examine structural stability and electronic characteristics, supporting the experimental findings. The characterization techniques such as Fourier-transform infrared spectroscopy (FTIR), UV–visible spectroscopy, and vibrating sample magnetometry (VSM) have confirmed the successful composite formation, improved light absorption, reduced band gap, and magnetic behavior. The photocatalytic performance of the prepared nanocomposites was evaluated under UV irradiation by studying the effects of pH, catalyst dosage, and initial dye concentration. The results have demonstrated an efficient degradation of MB, indicating that these carbon-based photocatalysts are the promising materials for wastewater treatment and environmental remediation.</w:t>
      </w:r>
    </w:p>
    <w:p w14:paraId="00000007" w14:textId="77777777" w:rsidR="00355AE1"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w:t>
      </w:r>
    </w:p>
    <w:p w14:paraId="00000008" w14:textId="799FEB35" w:rsidR="00355AE1"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Carbon-based photocatalysts; </w:t>
      </w:r>
      <w:r w:rsidR="006C42BC">
        <w:rPr>
          <w:rFonts w:ascii="Times New Roman" w:eastAsia="Times New Roman" w:hAnsi="Times New Roman" w:cs="Times New Roman"/>
          <w:sz w:val="24"/>
          <w:szCs w:val="24"/>
        </w:rPr>
        <w:t xml:space="preserve">MXene, </w:t>
      </w:r>
      <w:r>
        <w:rPr>
          <w:rFonts w:ascii="Times New Roman" w:eastAsia="Times New Roman" w:hAnsi="Times New Roman" w:cs="Times New Roman"/>
          <w:sz w:val="24"/>
          <w:szCs w:val="24"/>
        </w:rPr>
        <w:t xml:space="preserve">graphitic carbon nitride; wastewater treatment; environmental remediation; </w:t>
      </w:r>
    </w:p>
    <w:sectPr w:rsidR="00355AE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AE1"/>
    <w:rsid w:val="00355AE1"/>
    <w:rsid w:val="006C42BC"/>
    <w:rsid w:val="00E9167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F654"/>
  <w15:docId w15:val="{8116E8EC-C720-42E6-ADAC-88EF46A2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rsureshsagadevan@um.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Suresh Sagadevan</cp:lastModifiedBy>
  <cp:revision>2</cp:revision>
  <dcterms:created xsi:type="dcterms:W3CDTF">2026-08-02T02:27:00Z</dcterms:created>
  <dcterms:modified xsi:type="dcterms:W3CDTF">2026-08-02T02:28:00Z</dcterms:modified>
</cp:coreProperties>
</file>